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35082" w14:textId="77777777" w:rsidR="00334D84" w:rsidRDefault="00334D84" w:rsidP="00334D84">
      <w:pPr>
        <w:rPr>
          <w:sz w:val="20"/>
          <w:szCs w:val="20"/>
        </w:rPr>
      </w:pPr>
      <w:bookmarkStart w:id="0" w:name="_GoBack"/>
      <w:r>
        <w:rPr>
          <w:noProof/>
          <w:sz w:val="20"/>
          <w:szCs w:val="20"/>
        </w:rPr>
        <w:drawing>
          <wp:inline distT="0" distB="0" distL="0" distR="0" wp14:anchorId="1A6AF002" wp14:editId="3B6C165A">
            <wp:extent cx="4404360" cy="1264796"/>
            <wp:effectExtent l="0" t="0" r="0" b="0"/>
            <wp:docPr id="1" name="Picture 1" descr="cid:image001.jpg@01D4ACE9.0FCC1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ACE9.0FCC1F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424480" cy="1270574"/>
                    </a:xfrm>
                    <a:prstGeom prst="rect">
                      <a:avLst/>
                    </a:prstGeom>
                    <a:noFill/>
                    <a:ln>
                      <a:noFill/>
                    </a:ln>
                  </pic:spPr>
                </pic:pic>
              </a:graphicData>
            </a:graphic>
          </wp:inline>
        </w:drawing>
      </w:r>
      <w:bookmarkEnd w:id="0"/>
    </w:p>
    <w:p w14:paraId="0E344B5E" w14:textId="77777777" w:rsidR="00334D84" w:rsidRDefault="00334D84" w:rsidP="00334D84">
      <w:pPr>
        <w:rPr>
          <w:sz w:val="20"/>
          <w:szCs w:val="20"/>
        </w:rPr>
      </w:pPr>
    </w:p>
    <w:p w14:paraId="073C1B36" w14:textId="77777777" w:rsidR="00334D84" w:rsidRDefault="00334D84" w:rsidP="00334D84">
      <w:pPr>
        <w:rPr>
          <w:sz w:val="20"/>
          <w:szCs w:val="20"/>
        </w:rPr>
      </w:pPr>
      <w:r>
        <w:rPr>
          <w:sz w:val="20"/>
          <w:szCs w:val="20"/>
        </w:rPr>
        <w:t xml:space="preserve">You are invited to attend </w:t>
      </w:r>
      <w:r>
        <w:rPr>
          <w:b/>
          <w:bCs/>
          <w:sz w:val="20"/>
          <w:szCs w:val="20"/>
        </w:rPr>
        <w:t xml:space="preserve">Protecting Older Adults from Financial Abuse: Options and Best Practices. </w:t>
      </w:r>
      <w:r>
        <w:rPr>
          <w:sz w:val="20"/>
          <w:szCs w:val="20"/>
        </w:rPr>
        <w:t xml:space="preserve">This one-day seminar and networking opportunity is designed for legal and financial professionals who manage and protect the assets of older adults. Experts in the fields of elder fraud detection and prevention will lead sessions that explore the dimensions of the current epidemic of elder financial abuse and outline concrete steps for intervention. </w:t>
      </w:r>
    </w:p>
    <w:p w14:paraId="27EC93BA" w14:textId="77777777" w:rsidR="00334D84" w:rsidRDefault="00334D84" w:rsidP="00334D84">
      <w:pPr>
        <w:rPr>
          <w:sz w:val="20"/>
          <w:szCs w:val="20"/>
        </w:rPr>
      </w:pPr>
    </w:p>
    <w:p w14:paraId="39EC0762" w14:textId="77777777" w:rsidR="00334D84" w:rsidRDefault="00334D84" w:rsidP="00334D84">
      <w:pPr>
        <w:rPr>
          <w:b/>
          <w:bCs/>
          <w:sz w:val="20"/>
          <w:szCs w:val="20"/>
        </w:rPr>
      </w:pPr>
      <w:r>
        <w:rPr>
          <w:b/>
          <w:bCs/>
          <w:sz w:val="20"/>
          <w:szCs w:val="20"/>
        </w:rPr>
        <w:t>Registration:</w:t>
      </w:r>
    </w:p>
    <w:p w14:paraId="2EE41903" w14:textId="77777777" w:rsidR="00334D84" w:rsidRDefault="00AF1C00" w:rsidP="00334D84">
      <w:pPr>
        <w:rPr>
          <w:color w:val="C00000"/>
          <w:sz w:val="20"/>
          <w:szCs w:val="20"/>
        </w:rPr>
      </w:pPr>
      <w:hyperlink r:id="rId9" w:history="1">
        <w:r w:rsidR="00334D84">
          <w:rPr>
            <w:rStyle w:val="Hyperlink"/>
            <w:color w:val="C00000"/>
            <w:sz w:val="20"/>
            <w:szCs w:val="20"/>
          </w:rPr>
          <w:t>Online registrations</w:t>
        </w:r>
      </w:hyperlink>
      <w:r w:rsidR="00334D84">
        <w:rPr>
          <w:color w:val="C00000"/>
          <w:sz w:val="20"/>
          <w:szCs w:val="20"/>
        </w:rPr>
        <w:t xml:space="preserve"> are still being accepted. </w:t>
      </w:r>
    </w:p>
    <w:p w14:paraId="7FA05CD5" w14:textId="77777777" w:rsidR="00334D84" w:rsidRDefault="00334D84" w:rsidP="00334D84">
      <w:pPr>
        <w:rPr>
          <w:sz w:val="20"/>
          <w:szCs w:val="20"/>
        </w:rPr>
      </w:pPr>
    </w:p>
    <w:p w14:paraId="461641ED" w14:textId="77777777" w:rsidR="00334D84" w:rsidRDefault="00334D84" w:rsidP="00334D84">
      <w:pPr>
        <w:rPr>
          <w:b/>
          <w:bCs/>
          <w:sz w:val="20"/>
          <w:szCs w:val="20"/>
        </w:rPr>
      </w:pPr>
      <w:r>
        <w:rPr>
          <w:b/>
          <w:bCs/>
          <w:sz w:val="20"/>
          <w:szCs w:val="20"/>
        </w:rPr>
        <w:t>Speakers and Panelists:</w:t>
      </w:r>
    </w:p>
    <w:p w14:paraId="5EEC0653" w14:textId="77777777" w:rsidR="00334D84" w:rsidRDefault="00334D84" w:rsidP="00334D84">
      <w:pPr>
        <w:numPr>
          <w:ilvl w:val="0"/>
          <w:numId w:val="1"/>
        </w:numPr>
        <w:rPr>
          <w:sz w:val="20"/>
          <w:szCs w:val="20"/>
        </w:rPr>
      </w:pPr>
      <w:r>
        <w:rPr>
          <w:b/>
          <w:bCs/>
          <w:sz w:val="20"/>
          <w:szCs w:val="20"/>
        </w:rPr>
        <w:t>Don Blandin</w:t>
      </w:r>
      <w:r>
        <w:rPr>
          <w:sz w:val="20"/>
          <w:szCs w:val="20"/>
        </w:rPr>
        <w:t>, CEO, Investor Protection Trust</w:t>
      </w:r>
    </w:p>
    <w:p w14:paraId="1FBB8734" w14:textId="77777777" w:rsidR="00334D84" w:rsidRDefault="00334D84" w:rsidP="00334D84">
      <w:pPr>
        <w:numPr>
          <w:ilvl w:val="0"/>
          <w:numId w:val="1"/>
        </w:numPr>
        <w:rPr>
          <w:sz w:val="20"/>
          <w:szCs w:val="20"/>
        </w:rPr>
      </w:pPr>
      <w:r>
        <w:rPr>
          <w:b/>
          <w:bCs/>
          <w:sz w:val="20"/>
          <w:szCs w:val="20"/>
        </w:rPr>
        <w:t>Celiza (Lisa) Bragança</w:t>
      </w:r>
      <w:r>
        <w:rPr>
          <w:sz w:val="20"/>
          <w:szCs w:val="20"/>
        </w:rPr>
        <w:t>, Investor Protection Attorney, Bragança Law, LLC</w:t>
      </w:r>
    </w:p>
    <w:p w14:paraId="783EA2B0" w14:textId="77777777" w:rsidR="00334D84" w:rsidRDefault="00334D84" w:rsidP="00334D84">
      <w:pPr>
        <w:numPr>
          <w:ilvl w:val="0"/>
          <w:numId w:val="1"/>
        </w:numPr>
        <w:rPr>
          <w:sz w:val="20"/>
          <w:szCs w:val="20"/>
        </w:rPr>
      </w:pPr>
      <w:r>
        <w:rPr>
          <w:b/>
          <w:bCs/>
          <w:sz w:val="20"/>
          <w:szCs w:val="20"/>
        </w:rPr>
        <w:t xml:space="preserve">Wendy </w:t>
      </w:r>
      <w:proofErr w:type="spellStart"/>
      <w:r>
        <w:rPr>
          <w:b/>
          <w:bCs/>
          <w:sz w:val="20"/>
          <w:szCs w:val="20"/>
        </w:rPr>
        <w:t>Shparago</w:t>
      </w:r>
      <w:proofErr w:type="spellEnd"/>
      <w:r>
        <w:rPr>
          <w:b/>
          <w:bCs/>
          <w:sz w:val="20"/>
          <w:szCs w:val="20"/>
        </w:rPr>
        <w:t xml:space="preserve"> Cappelletto</w:t>
      </w:r>
      <w:r>
        <w:rPr>
          <w:sz w:val="20"/>
          <w:szCs w:val="20"/>
        </w:rPr>
        <w:t>, Supervising attorney, Cook County Public Guardian’s Office; NAELA member</w:t>
      </w:r>
    </w:p>
    <w:p w14:paraId="15F4411C" w14:textId="77777777" w:rsidR="00334D84" w:rsidRDefault="00334D84" w:rsidP="00334D84">
      <w:pPr>
        <w:numPr>
          <w:ilvl w:val="0"/>
          <w:numId w:val="1"/>
        </w:numPr>
        <w:rPr>
          <w:sz w:val="20"/>
          <w:szCs w:val="20"/>
        </w:rPr>
      </w:pPr>
      <w:r>
        <w:rPr>
          <w:b/>
          <w:bCs/>
          <w:sz w:val="20"/>
          <w:szCs w:val="20"/>
        </w:rPr>
        <w:t>Kathryn Casey</w:t>
      </w:r>
      <w:r>
        <w:rPr>
          <w:sz w:val="20"/>
          <w:szCs w:val="20"/>
        </w:rPr>
        <w:t xml:space="preserve">, Certified Elder Law Attorney, Dutton, Casey and </w:t>
      </w:r>
      <w:proofErr w:type="spellStart"/>
      <w:r>
        <w:rPr>
          <w:sz w:val="20"/>
          <w:szCs w:val="20"/>
        </w:rPr>
        <w:t>Mesoloras</w:t>
      </w:r>
      <w:proofErr w:type="spellEnd"/>
      <w:r>
        <w:rPr>
          <w:sz w:val="20"/>
          <w:szCs w:val="20"/>
        </w:rPr>
        <w:t>, PC; NAELA member</w:t>
      </w:r>
    </w:p>
    <w:p w14:paraId="56729CB9" w14:textId="77777777" w:rsidR="00334D84" w:rsidRDefault="00334D84" w:rsidP="00334D84">
      <w:pPr>
        <w:numPr>
          <w:ilvl w:val="0"/>
          <w:numId w:val="1"/>
        </w:numPr>
        <w:rPr>
          <w:sz w:val="20"/>
          <w:szCs w:val="20"/>
        </w:rPr>
      </w:pPr>
      <w:r>
        <w:rPr>
          <w:b/>
          <w:bCs/>
          <w:sz w:val="20"/>
          <w:szCs w:val="20"/>
        </w:rPr>
        <w:t>Chris Genzler</w:t>
      </w:r>
      <w:r>
        <w:rPr>
          <w:sz w:val="20"/>
          <w:szCs w:val="20"/>
        </w:rPr>
        <w:t>, CFP/Financial Advisor, Forum Financial Management</w:t>
      </w:r>
    </w:p>
    <w:p w14:paraId="05F33EFA" w14:textId="77777777" w:rsidR="00334D84" w:rsidRDefault="00334D84" w:rsidP="00334D84">
      <w:pPr>
        <w:numPr>
          <w:ilvl w:val="0"/>
          <w:numId w:val="1"/>
        </w:numPr>
        <w:rPr>
          <w:sz w:val="20"/>
          <w:szCs w:val="20"/>
        </w:rPr>
      </w:pPr>
      <w:r>
        <w:rPr>
          <w:b/>
          <w:bCs/>
          <w:sz w:val="20"/>
          <w:szCs w:val="20"/>
        </w:rPr>
        <w:t xml:space="preserve">Jon </w:t>
      </w:r>
      <w:proofErr w:type="spellStart"/>
      <w:r>
        <w:rPr>
          <w:b/>
          <w:bCs/>
          <w:sz w:val="20"/>
          <w:szCs w:val="20"/>
        </w:rPr>
        <w:t>Hofacker</w:t>
      </w:r>
      <w:proofErr w:type="spellEnd"/>
      <w:r>
        <w:rPr>
          <w:sz w:val="20"/>
          <w:szCs w:val="20"/>
        </w:rPr>
        <w:t xml:space="preserve">, Coordinator, Aging and Disability Rights, </w:t>
      </w:r>
      <w:proofErr w:type="spellStart"/>
      <w:r>
        <w:rPr>
          <w:sz w:val="20"/>
          <w:szCs w:val="20"/>
        </w:rPr>
        <w:t>AgeOptions</w:t>
      </w:r>
      <w:proofErr w:type="spellEnd"/>
    </w:p>
    <w:p w14:paraId="5FC3A129" w14:textId="77777777" w:rsidR="00334D84" w:rsidRDefault="00334D84" w:rsidP="00334D84">
      <w:pPr>
        <w:numPr>
          <w:ilvl w:val="0"/>
          <w:numId w:val="1"/>
        </w:numPr>
        <w:rPr>
          <w:sz w:val="20"/>
          <w:szCs w:val="20"/>
        </w:rPr>
      </w:pPr>
      <w:r>
        <w:rPr>
          <w:b/>
          <w:bCs/>
          <w:sz w:val="20"/>
          <w:szCs w:val="20"/>
        </w:rPr>
        <w:t>Dr. John Holton</w:t>
      </w:r>
      <w:r>
        <w:rPr>
          <w:sz w:val="20"/>
          <w:szCs w:val="20"/>
        </w:rPr>
        <w:t>, Director, Center for Gerontology and Visiting Associate Professor of Gerontology, Concordia University Chicago</w:t>
      </w:r>
    </w:p>
    <w:p w14:paraId="6F0A7F67" w14:textId="77777777" w:rsidR="00334D84" w:rsidRDefault="00334D84" w:rsidP="00334D84">
      <w:pPr>
        <w:numPr>
          <w:ilvl w:val="0"/>
          <w:numId w:val="1"/>
        </w:numPr>
        <w:rPr>
          <w:sz w:val="20"/>
          <w:szCs w:val="20"/>
        </w:rPr>
      </w:pPr>
      <w:r>
        <w:rPr>
          <w:b/>
          <w:bCs/>
          <w:sz w:val="20"/>
          <w:szCs w:val="20"/>
        </w:rPr>
        <w:t>Karen Jones</w:t>
      </w:r>
      <w:r>
        <w:rPr>
          <w:sz w:val="20"/>
          <w:szCs w:val="20"/>
        </w:rPr>
        <w:t>, Senior Vice President and Private Client Advisor, U.S. Trust</w:t>
      </w:r>
    </w:p>
    <w:p w14:paraId="00C686A3" w14:textId="77777777" w:rsidR="00334D84" w:rsidRDefault="00334D84" w:rsidP="00334D84">
      <w:pPr>
        <w:numPr>
          <w:ilvl w:val="0"/>
          <w:numId w:val="1"/>
        </w:numPr>
        <w:rPr>
          <w:sz w:val="20"/>
          <w:szCs w:val="20"/>
        </w:rPr>
      </w:pPr>
      <w:r>
        <w:rPr>
          <w:b/>
          <w:bCs/>
          <w:sz w:val="20"/>
          <w:szCs w:val="20"/>
        </w:rPr>
        <w:t>Dr. Robert Roush</w:t>
      </w:r>
      <w:r>
        <w:rPr>
          <w:sz w:val="20"/>
          <w:szCs w:val="20"/>
        </w:rPr>
        <w:t>, Professor of Medicine-Geriatrics, Baylor College of Medicine; Director, Texas Consortium Geriatrics Education Center; Director, Huffington Center on Aging, Houston, Texas; Board Member, Investor Protection Institute</w:t>
      </w:r>
    </w:p>
    <w:p w14:paraId="5B27C433" w14:textId="77777777" w:rsidR="00334D84" w:rsidRDefault="00334D84" w:rsidP="00334D84">
      <w:pPr>
        <w:numPr>
          <w:ilvl w:val="0"/>
          <w:numId w:val="1"/>
        </w:numPr>
        <w:rPr>
          <w:sz w:val="20"/>
          <w:szCs w:val="20"/>
        </w:rPr>
      </w:pPr>
      <w:r>
        <w:rPr>
          <w:b/>
          <w:bCs/>
          <w:sz w:val="20"/>
          <w:szCs w:val="20"/>
        </w:rPr>
        <w:t xml:space="preserve">Deanna </w:t>
      </w:r>
      <w:proofErr w:type="spellStart"/>
      <w:r>
        <w:rPr>
          <w:b/>
          <w:bCs/>
          <w:sz w:val="20"/>
          <w:szCs w:val="20"/>
        </w:rPr>
        <w:t>Salo</w:t>
      </w:r>
      <w:proofErr w:type="spellEnd"/>
      <w:r>
        <w:rPr>
          <w:sz w:val="20"/>
          <w:szCs w:val="20"/>
        </w:rPr>
        <w:t>, CPA, Principal, Cray, Kaiser Ltd.</w:t>
      </w:r>
    </w:p>
    <w:p w14:paraId="1F9EC015" w14:textId="77777777" w:rsidR="00334D84" w:rsidRDefault="00334D84" w:rsidP="00334D84">
      <w:pPr>
        <w:numPr>
          <w:ilvl w:val="0"/>
          <w:numId w:val="1"/>
        </w:numPr>
        <w:rPr>
          <w:sz w:val="20"/>
          <w:szCs w:val="20"/>
        </w:rPr>
      </w:pPr>
      <w:r>
        <w:rPr>
          <w:b/>
          <w:bCs/>
          <w:sz w:val="20"/>
          <w:szCs w:val="20"/>
        </w:rPr>
        <w:t>Dr. John Schwarm</w:t>
      </w:r>
      <w:r>
        <w:rPr>
          <w:sz w:val="20"/>
          <w:szCs w:val="20"/>
        </w:rPr>
        <w:t xml:space="preserve">, Associate Dean and Chair of Graduate Programs, College of Business, Concordia University Chicago </w:t>
      </w:r>
    </w:p>
    <w:p w14:paraId="283BA59F" w14:textId="77777777" w:rsidR="00334D84" w:rsidRDefault="00334D84" w:rsidP="00334D84">
      <w:pPr>
        <w:numPr>
          <w:ilvl w:val="0"/>
          <w:numId w:val="1"/>
        </w:numPr>
        <w:rPr>
          <w:sz w:val="20"/>
          <w:szCs w:val="20"/>
        </w:rPr>
      </w:pPr>
      <w:r>
        <w:rPr>
          <w:b/>
          <w:bCs/>
          <w:sz w:val="20"/>
          <w:szCs w:val="20"/>
        </w:rPr>
        <w:t xml:space="preserve">Tanya </w:t>
      </w:r>
      <w:proofErr w:type="spellStart"/>
      <w:r>
        <w:rPr>
          <w:b/>
          <w:bCs/>
          <w:sz w:val="20"/>
          <w:szCs w:val="20"/>
        </w:rPr>
        <w:t>Solov</w:t>
      </w:r>
      <w:proofErr w:type="spellEnd"/>
      <w:r>
        <w:rPr>
          <w:sz w:val="20"/>
          <w:szCs w:val="20"/>
        </w:rPr>
        <w:t xml:space="preserve">, Director, Illinois Securities Department </w:t>
      </w:r>
    </w:p>
    <w:p w14:paraId="134D7CE3" w14:textId="77777777" w:rsidR="00334D84" w:rsidRDefault="00334D84" w:rsidP="00334D84">
      <w:pPr>
        <w:numPr>
          <w:ilvl w:val="0"/>
          <w:numId w:val="1"/>
        </w:numPr>
        <w:rPr>
          <w:sz w:val="20"/>
          <w:szCs w:val="20"/>
        </w:rPr>
      </w:pPr>
      <w:r>
        <w:rPr>
          <w:b/>
          <w:bCs/>
          <w:sz w:val="20"/>
          <w:szCs w:val="20"/>
        </w:rPr>
        <w:t>John Wasik</w:t>
      </w:r>
      <w:r>
        <w:rPr>
          <w:sz w:val="20"/>
          <w:szCs w:val="20"/>
        </w:rPr>
        <w:t>, Award-winning journalist and author of 17 books</w:t>
      </w:r>
    </w:p>
    <w:p w14:paraId="1EBCC5D1" w14:textId="77777777" w:rsidR="00334D84" w:rsidRDefault="00334D84" w:rsidP="00334D84">
      <w:pPr>
        <w:numPr>
          <w:ilvl w:val="0"/>
          <w:numId w:val="1"/>
        </w:numPr>
        <w:rPr>
          <w:sz w:val="20"/>
          <w:szCs w:val="20"/>
        </w:rPr>
      </w:pPr>
      <w:r>
        <w:rPr>
          <w:b/>
          <w:bCs/>
          <w:sz w:val="20"/>
          <w:szCs w:val="20"/>
        </w:rPr>
        <w:t>Eleonore Weber</w:t>
      </w:r>
      <w:r>
        <w:rPr>
          <w:sz w:val="20"/>
          <w:szCs w:val="20"/>
        </w:rPr>
        <w:t>, CLTC and Principal, Your Life Security, LLC</w:t>
      </w:r>
    </w:p>
    <w:p w14:paraId="4AFDA2FD" w14:textId="77777777" w:rsidR="00334D84" w:rsidRDefault="00334D84" w:rsidP="00334D84">
      <w:pPr>
        <w:rPr>
          <w:sz w:val="20"/>
          <w:szCs w:val="20"/>
        </w:rPr>
      </w:pPr>
    </w:p>
    <w:p w14:paraId="7F62A95C" w14:textId="77777777" w:rsidR="00334D84" w:rsidRDefault="00334D84" w:rsidP="00334D84">
      <w:pPr>
        <w:rPr>
          <w:b/>
          <w:bCs/>
          <w:sz w:val="20"/>
          <w:szCs w:val="20"/>
        </w:rPr>
      </w:pPr>
      <w:r>
        <w:rPr>
          <w:b/>
          <w:bCs/>
          <w:sz w:val="20"/>
          <w:szCs w:val="20"/>
        </w:rPr>
        <w:t>Event information:</w:t>
      </w:r>
    </w:p>
    <w:p w14:paraId="07082C61" w14:textId="77777777" w:rsidR="00334D84" w:rsidRDefault="00334D84" w:rsidP="00334D84">
      <w:pPr>
        <w:rPr>
          <w:sz w:val="20"/>
          <w:szCs w:val="20"/>
        </w:rPr>
      </w:pPr>
      <w:r>
        <w:rPr>
          <w:sz w:val="20"/>
          <w:szCs w:val="20"/>
        </w:rPr>
        <w:t>Monday, January 21, 2019</w:t>
      </w:r>
    </w:p>
    <w:p w14:paraId="5F9B45C0" w14:textId="77777777" w:rsidR="00334D84" w:rsidRDefault="00334D84" w:rsidP="00334D84">
      <w:pPr>
        <w:rPr>
          <w:sz w:val="20"/>
          <w:szCs w:val="20"/>
        </w:rPr>
      </w:pPr>
      <w:r>
        <w:rPr>
          <w:sz w:val="20"/>
          <w:szCs w:val="20"/>
        </w:rPr>
        <w:t>9:00am – 4:00pm</w:t>
      </w:r>
    </w:p>
    <w:p w14:paraId="62CFBFA6" w14:textId="77777777" w:rsidR="00334D84" w:rsidRDefault="00334D84" w:rsidP="00334D84">
      <w:pPr>
        <w:rPr>
          <w:sz w:val="20"/>
          <w:szCs w:val="20"/>
        </w:rPr>
      </w:pPr>
      <w:r>
        <w:rPr>
          <w:sz w:val="20"/>
          <w:szCs w:val="20"/>
        </w:rPr>
        <w:t>Blue Cross Blue Shield of Illinois</w:t>
      </w:r>
    </w:p>
    <w:p w14:paraId="56F82888" w14:textId="77777777" w:rsidR="00334D84" w:rsidRDefault="00334D84" w:rsidP="00334D84">
      <w:pPr>
        <w:rPr>
          <w:sz w:val="20"/>
          <w:szCs w:val="20"/>
        </w:rPr>
      </w:pPr>
      <w:r>
        <w:rPr>
          <w:sz w:val="20"/>
          <w:szCs w:val="20"/>
        </w:rPr>
        <w:lastRenderedPageBreak/>
        <w:t>Auditorium A</w:t>
      </w:r>
    </w:p>
    <w:p w14:paraId="0937D276" w14:textId="77777777" w:rsidR="00334D84" w:rsidRDefault="00334D84" w:rsidP="00334D84">
      <w:pPr>
        <w:rPr>
          <w:sz w:val="20"/>
          <w:szCs w:val="20"/>
        </w:rPr>
      </w:pPr>
      <w:r>
        <w:rPr>
          <w:sz w:val="20"/>
          <w:szCs w:val="20"/>
        </w:rPr>
        <w:t>300 E. Randolph</w:t>
      </w:r>
    </w:p>
    <w:p w14:paraId="3D919F4E" w14:textId="77777777" w:rsidR="00334D84" w:rsidRDefault="00334D84" w:rsidP="00334D84">
      <w:pPr>
        <w:rPr>
          <w:sz w:val="20"/>
          <w:szCs w:val="20"/>
        </w:rPr>
      </w:pPr>
      <w:r>
        <w:rPr>
          <w:sz w:val="20"/>
          <w:szCs w:val="20"/>
        </w:rPr>
        <w:t xml:space="preserve">Chicago, IL 60601 </w:t>
      </w:r>
    </w:p>
    <w:p w14:paraId="16995425" w14:textId="77777777" w:rsidR="00334D84" w:rsidRDefault="00334D84" w:rsidP="00334D84">
      <w:pPr>
        <w:rPr>
          <w:sz w:val="20"/>
          <w:szCs w:val="20"/>
        </w:rPr>
      </w:pPr>
    </w:p>
    <w:p w14:paraId="133DDCFF" w14:textId="77777777" w:rsidR="00334D84" w:rsidRDefault="00334D84" w:rsidP="00334D84">
      <w:pPr>
        <w:rPr>
          <w:b/>
          <w:bCs/>
          <w:sz w:val="20"/>
          <w:szCs w:val="20"/>
        </w:rPr>
      </w:pPr>
      <w:r>
        <w:rPr>
          <w:b/>
          <w:bCs/>
          <w:sz w:val="20"/>
          <w:szCs w:val="20"/>
        </w:rPr>
        <w:t>Event Sponsors:</w:t>
      </w:r>
    </w:p>
    <w:p w14:paraId="4753D60A" w14:textId="77777777" w:rsidR="00334D84" w:rsidRDefault="00334D84" w:rsidP="00334D84">
      <w:pPr>
        <w:rPr>
          <w:sz w:val="20"/>
          <w:szCs w:val="20"/>
        </w:rPr>
      </w:pPr>
      <w:r>
        <w:rPr>
          <w:sz w:val="20"/>
          <w:szCs w:val="20"/>
        </w:rPr>
        <w:t>Concordia University Chicago Center for Gerontology</w:t>
      </w:r>
    </w:p>
    <w:p w14:paraId="76470855" w14:textId="77777777" w:rsidR="00334D84" w:rsidRDefault="00334D84" w:rsidP="00334D84">
      <w:pPr>
        <w:rPr>
          <w:sz w:val="20"/>
          <w:szCs w:val="20"/>
        </w:rPr>
      </w:pPr>
      <w:r>
        <w:rPr>
          <w:sz w:val="20"/>
          <w:szCs w:val="20"/>
        </w:rPr>
        <w:t>Concordia University Chicago College of Business</w:t>
      </w:r>
    </w:p>
    <w:p w14:paraId="1E17A8C1" w14:textId="77777777" w:rsidR="00334D84" w:rsidRDefault="00334D84" w:rsidP="00334D84">
      <w:pPr>
        <w:rPr>
          <w:sz w:val="20"/>
          <w:szCs w:val="20"/>
        </w:rPr>
      </w:pPr>
      <w:proofErr w:type="spellStart"/>
      <w:r>
        <w:rPr>
          <w:sz w:val="20"/>
          <w:szCs w:val="20"/>
        </w:rPr>
        <w:t>AgeOptions</w:t>
      </w:r>
      <w:proofErr w:type="spellEnd"/>
    </w:p>
    <w:p w14:paraId="0CB1C1F8" w14:textId="77777777" w:rsidR="007C2C2A" w:rsidRDefault="007C2C2A"/>
    <w:sectPr w:rsidR="007C2C2A" w:rsidSect="00AF1C00">
      <w:footerReference w:type="default" r:id="rId10"/>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BDE50" w14:textId="77777777" w:rsidR="009D14A4" w:rsidRDefault="009D14A4" w:rsidP="009D14A4">
      <w:r>
        <w:separator/>
      </w:r>
    </w:p>
  </w:endnote>
  <w:endnote w:type="continuationSeparator" w:id="0">
    <w:p w14:paraId="21B97100" w14:textId="77777777" w:rsidR="009D14A4" w:rsidRDefault="009D14A4" w:rsidP="009D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2B1B8" w14:textId="4DBC9590" w:rsidR="009D14A4" w:rsidRPr="009D14A4" w:rsidRDefault="009D14A4" w:rsidP="009D14A4">
    <w:pPr>
      <w:pStyle w:val="Footer"/>
      <w:jc w:val="center"/>
      <w:rPr>
        <w:rFonts w:ascii="Century Gothic" w:hAnsi="Century Gothic"/>
      </w:rPr>
    </w:pPr>
    <w:r>
      <w:rPr>
        <w:noProof/>
      </w:rPr>
      <w:drawing>
        <wp:inline distT="0" distB="0" distL="0" distR="0" wp14:anchorId="420C4036" wp14:editId="6C225A8C">
          <wp:extent cx="1828800" cy="731520"/>
          <wp:effectExtent l="0" t="0" r="0" b="0"/>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LS LOGO Website-larger file.jpg"/>
                  <pic:cNvPicPr/>
                </pic:nvPicPr>
                <pic:blipFill>
                  <a:blip r:embed="rId1">
                    <a:extLst>
                      <a:ext uri="{28A0092B-C50C-407E-A947-70E740481C1C}">
                        <a14:useLocalDpi xmlns:a14="http://schemas.microsoft.com/office/drawing/2010/main" val="0"/>
                      </a:ext>
                    </a:extLst>
                  </a:blip>
                  <a:stretch>
                    <a:fillRect/>
                  </a:stretch>
                </pic:blipFill>
                <pic:spPr>
                  <a:xfrm>
                    <a:off x="0" y="0"/>
                    <a:ext cx="1828800" cy="731520"/>
                  </a:xfrm>
                  <a:prstGeom prst="rect">
                    <a:avLst/>
                  </a:prstGeom>
                </pic:spPr>
              </pic:pic>
            </a:graphicData>
          </a:graphic>
        </wp:inline>
      </w:drawing>
    </w:r>
    <w:r>
      <w:br/>
    </w:r>
    <w:r>
      <w:rPr>
        <w:rFonts w:ascii="Century Gothic" w:hAnsi="Century Gothic"/>
      </w:rPr>
      <w:t xml:space="preserve">      </w:t>
    </w:r>
    <w:r w:rsidRPr="009D14A4">
      <w:rPr>
        <w:rFonts w:ascii="Century Gothic" w:hAnsi="Century Gothic"/>
      </w:rPr>
      <w:t>Eleonore.Weber@YourLifeSecurity.com</w:t>
    </w:r>
    <w:r w:rsidRPr="009D14A4">
      <w:rPr>
        <w:rFonts w:ascii="Century Gothic" w:hAnsi="Century Gothic"/>
      </w:rPr>
      <w:ptab w:relativeTo="margin" w:alignment="center" w:leader="none"/>
    </w:r>
  </w:p>
  <w:p w14:paraId="13FAB4DE" w14:textId="77777777" w:rsidR="009D14A4" w:rsidRPr="009D14A4" w:rsidRDefault="009D14A4">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D6A19" w14:textId="77777777" w:rsidR="009D14A4" w:rsidRDefault="009D14A4" w:rsidP="009D14A4">
      <w:r>
        <w:separator/>
      </w:r>
    </w:p>
  </w:footnote>
  <w:footnote w:type="continuationSeparator" w:id="0">
    <w:p w14:paraId="069037E7" w14:textId="77777777" w:rsidR="009D14A4" w:rsidRDefault="009D14A4" w:rsidP="009D1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7F7F16"/>
    <w:multiLevelType w:val="hybridMultilevel"/>
    <w:tmpl w:val="96ACD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D84"/>
    <w:rsid w:val="00334D84"/>
    <w:rsid w:val="00573BA8"/>
    <w:rsid w:val="007C2C2A"/>
    <w:rsid w:val="009D14A4"/>
    <w:rsid w:val="00AF1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391DF"/>
  <w15:chartTrackingRefBased/>
  <w15:docId w15:val="{63643B31-A1EA-4C1C-8796-151D6319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D8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4D84"/>
    <w:rPr>
      <w:color w:val="0563C1"/>
      <w:u w:val="single"/>
    </w:rPr>
  </w:style>
  <w:style w:type="paragraph" w:styleId="Header">
    <w:name w:val="header"/>
    <w:basedOn w:val="Normal"/>
    <w:link w:val="HeaderChar"/>
    <w:uiPriority w:val="99"/>
    <w:unhideWhenUsed/>
    <w:rsid w:val="009D14A4"/>
    <w:pPr>
      <w:tabs>
        <w:tab w:val="center" w:pos="4680"/>
        <w:tab w:val="right" w:pos="9360"/>
      </w:tabs>
    </w:pPr>
  </w:style>
  <w:style w:type="character" w:customStyle="1" w:styleId="HeaderChar">
    <w:name w:val="Header Char"/>
    <w:basedOn w:val="DefaultParagraphFont"/>
    <w:link w:val="Header"/>
    <w:uiPriority w:val="99"/>
    <w:rsid w:val="009D14A4"/>
    <w:rPr>
      <w:rFonts w:ascii="Calibri" w:hAnsi="Calibri" w:cs="Calibri"/>
    </w:rPr>
  </w:style>
  <w:style w:type="paragraph" w:styleId="Footer">
    <w:name w:val="footer"/>
    <w:basedOn w:val="Normal"/>
    <w:link w:val="FooterChar"/>
    <w:uiPriority w:val="99"/>
    <w:unhideWhenUsed/>
    <w:rsid w:val="009D14A4"/>
    <w:pPr>
      <w:tabs>
        <w:tab w:val="center" w:pos="4680"/>
        <w:tab w:val="right" w:pos="9360"/>
      </w:tabs>
    </w:pPr>
  </w:style>
  <w:style w:type="character" w:customStyle="1" w:styleId="FooterChar">
    <w:name w:val="Footer Char"/>
    <w:basedOn w:val="DefaultParagraphFont"/>
    <w:link w:val="Footer"/>
    <w:uiPriority w:val="99"/>
    <w:rsid w:val="009D14A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56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4ACE9.0FCC1F2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4agc.com/commerce_pages/edcf8b3c-7fa9-4316-8e4d-09bde30305c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Eleonore Weber</dc:creator>
  <cp:keywords/>
  <dc:description/>
  <cp:lastModifiedBy>Eleonore Weber</cp:lastModifiedBy>
  <cp:revision>3</cp:revision>
  <dcterms:created xsi:type="dcterms:W3CDTF">2019-01-17T16:24:00Z</dcterms:created>
  <dcterms:modified xsi:type="dcterms:W3CDTF">2019-01-17T16:25:00Z</dcterms:modified>
</cp:coreProperties>
</file>